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62" w:rsidRPr="00124B62" w:rsidRDefault="00124B62" w:rsidP="00124B62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sk-SK"/>
        </w:rPr>
      </w:pPr>
      <w:bookmarkStart w:id="0" w:name="_GoBack"/>
      <w:bookmarkEnd w:id="0"/>
      <w:r w:rsidRPr="00124B62">
        <w:rPr>
          <w:rFonts w:ascii="Arial" w:eastAsia="Times New Roman" w:hAnsi="Arial" w:cs="Arial"/>
          <w:b/>
          <w:bCs/>
          <w:kern w:val="36"/>
          <w:sz w:val="40"/>
          <w:szCs w:val="40"/>
          <w:lang w:eastAsia="sk-SK"/>
        </w:rPr>
        <w:t>Vyhláška č. 142/2015 Z. z.</w:t>
      </w:r>
    </w:p>
    <w:p w:rsidR="00124B62" w:rsidRPr="00124B62" w:rsidRDefault="00124B62" w:rsidP="00124B6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124B6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Časová verzia predpisu účinná od 01.07.2015</w:t>
      </w: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>Ministerstva vnútra Slovenskej republiky</w:t>
      </w: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 xml:space="preserve">z 23. júna 2015,    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 xml:space="preserve">ktorou sa vykonáva zákon č. 125/2015 Z. z. o registri adries </w:t>
      </w: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>a o zmene a doplnení niektorých zákonov</w:t>
      </w: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 xml:space="preserve">Ministerstvo vnútra Slovenskej republiky po dohode s Úradom geodézie, kartografie a katastra Slovenskej republiky podľa </w:t>
      </w:r>
      <w:hyperlink r:id="rId6" w:anchor="paragraf-12" w:history="1">
        <w:r w:rsidRPr="00124B62">
          <w:rPr>
            <w:rFonts w:ascii="Arial" w:eastAsia="Times New Roman" w:hAnsi="Arial" w:cs="Arial"/>
            <w:b/>
            <w:bCs/>
            <w:u w:val="single"/>
            <w:lang w:eastAsia="sk-SK"/>
          </w:rPr>
          <w:t>§ 12 zákona č. 125/2015 Z. z.</w:t>
        </w:r>
      </w:hyperlink>
      <w:r w:rsidRPr="00124B62">
        <w:rPr>
          <w:rFonts w:ascii="Arial" w:eastAsia="Times New Roman" w:hAnsi="Arial" w:cs="Arial"/>
          <w:lang w:eastAsia="sk-SK"/>
        </w:rPr>
        <w:t xml:space="preserve"> o registri adries a o zmene a doplnení niektorých zákonov (ďalej len "zákon") ustanovuje: 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>§ 1</w:t>
      </w:r>
    </w:p>
    <w:p w:rsidR="00124B62" w:rsidRPr="00124B62" w:rsidRDefault="00124B62" w:rsidP="00124B6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 xml:space="preserve">  Adresný bod sa vyjadruje v priestorových súradniciach geodetického referenčného systému podľa </w:t>
      </w:r>
      <w:hyperlink r:id="rId7" w:anchor="paragraf-3.odsek-3" w:history="1">
        <w:r w:rsidRPr="00124B62">
          <w:rPr>
            <w:rFonts w:ascii="Arial" w:eastAsia="Times New Roman" w:hAnsi="Arial" w:cs="Arial"/>
            <w:b/>
            <w:bCs/>
            <w:u w:val="single"/>
            <w:lang w:eastAsia="sk-SK"/>
          </w:rPr>
          <w:t>§ 3 ods. 3 zákona</w:t>
        </w:r>
      </w:hyperlink>
      <w:r w:rsidRPr="00124B62">
        <w:rPr>
          <w:rFonts w:ascii="Arial" w:eastAsia="Times New Roman" w:hAnsi="Arial" w:cs="Arial"/>
          <w:lang w:eastAsia="sk-SK"/>
        </w:rPr>
        <w:t xml:space="preserve">, ktoré sa získavajú na základe zamerania adresného bodu. </w:t>
      </w:r>
    </w:p>
    <w:p w:rsidR="00124B62" w:rsidRPr="00124B62" w:rsidRDefault="00124B62" w:rsidP="00124B6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 xml:space="preserve">Podkladom na zameranie adresného bodu je geometrický plán, ktorým bola na účely vydania kolaudačného rozhodnutia zameraná budova, ku ktorej sa adresný bod zameriava (ďalej len "geometrický plán"). </w:t>
      </w:r>
    </w:p>
    <w:p w:rsidR="00124B62" w:rsidRDefault="00124B62" w:rsidP="00124B6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 xml:space="preserve">Na účely určenia a vyjadrenia polohy budovy, ku ktorej sa adresný bod zameriava, sa použijú údaje o jej zameraní z geometrického plánu. </w:t>
      </w:r>
    </w:p>
    <w:p w:rsidR="00124B62" w:rsidRDefault="00124B62" w:rsidP="00124B6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 xml:space="preserve">Adresný bod sa zameria využitím geodetických metód priameho merania v teréne tak, že sa zameria aj pravý okraj aj ľavý okraj vstupu do budovy. Poloha adresného bodu sa určí tak, aby bol v strede na spojnici pravého okraja a ľavého okraja vstupu do budovy, a to 0,30 m smerom do vnútra budovy. Presnosť určenia adresného bodu je rovnaká ako presnosť určenia podrobných bodov budovy, zameranej na účel geometrického plánu. </w:t>
      </w:r>
      <w:proofErr w:type="spellStart"/>
      <w:r w:rsidRPr="00124B62">
        <w:rPr>
          <w:rFonts w:ascii="Arial" w:eastAsia="Times New Roman" w:hAnsi="Arial" w:cs="Arial"/>
          <w:color w:val="000000"/>
          <w:lang w:eastAsia="sk-SK"/>
        </w:rPr>
        <w:t>Elipsoidická</w:t>
      </w:r>
      <w:proofErr w:type="spellEnd"/>
      <w:r w:rsidRPr="00124B62">
        <w:rPr>
          <w:rFonts w:ascii="Arial" w:eastAsia="Times New Roman" w:hAnsi="Arial" w:cs="Arial"/>
          <w:color w:val="000000"/>
          <w:lang w:eastAsia="sk-SK"/>
        </w:rPr>
        <w:t xml:space="preserve"> (geodetická) výška adresného bodu je daná výškou podlahy pri vstupe do budovy, udáva sa v centimetroch s presnosťou 0,20 m. </w:t>
      </w:r>
    </w:p>
    <w:p w:rsidR="00124B62" w:rsidRPr="00124B62" w:rsidRDefault="00124B62" w:rsidP="00124B6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Ak bola poloha adresného bodu určená v súradnicovom systéme Jednotnej trigonometrickej siete katastrálnej s alfabetickým kódom S-JTSK, použije sa na transformáciu Rezortná transformačná služba.</w:t>
      </w:r>
      <w:hyperlink r:id="rId8" w:anchor="poznamky.poznamka-1" w:history="1">
        <w:r w:rsidRPr="00124B62">
          <w:rPr>
            <w:rFonts w:ascii="Arial" w:eastAsia="Times New Roman" w:hAnsi="Arial" w:cs="Arial"/>
            <w:b/>
            <w:bCs/>
            <w:color w:val="5F1675"/>
            <w:u w:val="single"/>
            <w:vertAlign w:val="superscript"/>
            <w:lang w:eastAsia="sk-SK"/>
          </w:rPr>
          <w:t>1</w:t>
        </w:r>
        <w:r w:rsidRPr="00124B62">
          <w:rPr>
            <w:rFonts w:ascii="Arial" w:eastAsia="Times New Roman" w:hAnsi="Arial" w:cs="Arial"/>
            <w:b/>
            <w:bCs/>
            <w:color w:val="5F1675"/>
            <w:u w:val="single"/>
            <w:lang w:eastAsia="sk-SK"/>
          </w:rPr>
          <w:t>)</w:t>
        </w:r>
      </w:hyperlink>
    </w:p>
    <w:p w:rsid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§ 2</w:t>
      </w:r>
    </w:p>
    <w:p w:rsidR="00124B62" w:rsidRDefault="00124B62" w:rsidP="00124B6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 xml:space="preserve"> Zameranie adresného bodu obsahuje popisnú časť a grafickú časť.</w:t>
      </w:r>
    </w:p>
    <w:p w:rsidR="00124B62" w:rsidRDefault="00124B62" w:rsidP="00124B62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24B62" w:rsidRPr="00124B62" w:rsidRDefault="00124B62" w:rsidP="00124B6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Popisná časť obsahuje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a) </w:t>
      </w:r>
      <w:proofErr w:type="spellStart"/>
      <w:r w:rsidRPr="00124B62">
        <w:rPr>
          <w:rFonts w:ascii="Arial" w:eastAsia="Times New Roman" w:hAnsi="Arial" w:cs="Arial"/>
          <w:color w:val="000000"/>
          <w:lang w:eastAsia="sk-SK"/>
        </w:rPr>
        <w:t>elipsoidickú</w:t>
      </w:r>
      <w:proofErr w:type="spellEnd"/>
      <w:r w:rsidRPr="00124B62">
        <w:rPr>
          <w:rFonts w:ascii="Arial" w:eastAsia="Times New Roman" w:hAnsi="Arial" w:cs="Arial"/>
          <w:color w:val="000000"/>
          <w:lang w:eastAsia="sk-SK"/>
        </w:rPr>
        <w:t xml:space="preserve"> (geodetickú) šírku adresného bodu,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b)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 w:rsidRPr="00124B62">
        <w:rPr>
          <w:rFonts w:ascii="Arial" w:eastAsia="Times New Roman" w:hAnsi="Arial" w:cs="Arial"/>
          <w:color w:val="000000"/>
          <w:lang w:eastAsia="sk-SK"/>
        </w:rPr>
        <w:t>elipsoidickú</w:t>
      </w:r>
      <w:proofErr w:type="spellEnd"/>
      <w:r w:rsidRPr="00124B62">
        <w:rPr>
          <w:rFonts w:ascii="Arial" w:eastAsia="Times New Roman" w:hAnsi="Arial" w:cs="Arial"/>
          <w:color w:val="000000"/>
          <w:lang w:eastAsia="sk-SK"/>
        </w:rPr>
        <w:t xml:space="preserve"> (geodetickú) dĺžku adresného bodu,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c)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 w:rsidRPr="00124B62">
        <w:rPr>
          <w:rFonts w:ascii="Arial" w:eastAsia="Times New Roman" w:hAnsi="Arial" w:cs="Arial"/>
          <w:color w:val="000000"/>
          <w:lang w:eastAsia="sk-SK"/>
        </w:rPr>
        <w:t>elipsoidickú</w:t>
      </w:r>
      <w:proofErr w:type="spellEnd"/>
      <w:r w:rsidRPr="00124B62">
        <w:rPr>
          <w:rFonts w:ascii="Arial" w:eastAsia="Times New Roman" w:hAnsi="Arial" w:cs="Arial"/>
          <w:color w:val="000000"/>
          <w:lang w:eastAsia="sk-SK"/>
        </w:rPr>
        <w:t xml:space="preserve"> (geodetickú) výšku adresného bodu,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d)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24B62">
        <w:rPr>
          <w:rFonts w:ascii="Arial" w:eastAsia="Times New Roman" w:hAnsi="Arial" w:cs="Arial"/>
          <w:color w:val="000000"/>
          <w:lang w:eastAsia="sk-SK"/>
        </w:rPr>
        <w:t>označenie kraja, okresu, obce a časti obce, v ktorých sa budova nachádza,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e)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24B62">
        <w:rPr>
          <w:rFonts w:ascii="Arial" w:eastAsia="Times New Roman" w:hAnsi="Arial" w:cs="Arial"/>
          <w:color w:val="000000"/>
          <w:lang w:eastAsia="sk-SK"/>
        </w:rPr>
        <w:t>názov ulice, na ktorej sa budova nachádza, ak je určený,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f)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24B62">
        <w:rPr>
          <w:rFonts w:ascii="Arial" w:eastAsia="Times New Roman" w:hAnsi="Arial" w:cs="Arial"/>
          <w:color w:val="000000"/>
          <w:lang w:eastAsia="sk-SK"/>
        </w:rPr>
        <w:t>orientačné číslo vstupu do budovy, ak je určené,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g)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24B62">
        <w:rPr>
          <w:rFonts w:ascii="Arial" w:eastAsia="Times New Roman" w:hAnsi="Arial" w:cs="Arial"/>
          <w:color w:val="000000"/>
          <w:lang w:eastAsia="sk-SK"/>
        </w:rPr>
        <w:t>súpisné číslo budovy, ak je určené,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h)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24B62">
        <w:rPr>
          <w:rFonts w:ascii="Arial" w:eastAsia="Times New Roman" w:hAnsi="Arial" w:cs="Arial"/>
          <w:color w:val="000000"/>
          <w:lang w:eastAsia="sk-SK"/>
        </w:rPr>
        <w:t>meno, priezvisko a podpis toho, kto adresný bod zameral.</w:t>
      </w: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24B62" w:rsidRDefault="00124B62" w:rsidP="00124B6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 xml:space="preserve">Grafická časť obsahuje vyznačenie budovy na parcele a označenie polohy adresného bodu vo vzťahu k budove. </w:t>
      </w:r>
    </w:p>
    <w:p w:rsidR="00124B62" w:rsidRDefault="00124B62" w:rsidP="00124B62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24B62" w:rsidRDefault="00124B62" w:rsidP="00124B6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Vzor zamerania adresného bodu v listinnej podobe je uvedený v prílohe.</w:t>
      </w:r>
    </w:p>
    <w:p w:rsidR="00124B62" w:rsidRPr="00124B62" w:rsidRDefault="00124B62" w:rsidP="00124B62">
      <w:pPr>
        <w:pStyle w:val="Odsekzoznamu"/>
        <w:rPr>
          <w:rFonts w:ascii="Arial" w:eastAsia="Times New Roman" w:hAnsi="Arial" w:cs="Arial"/>
          <w:color w:val="000000"/>
          <w:lang w:eastAsia="sk-SK"/>
        </w:rPr>
      </w:pPr>
    </w:p>
    <w:p w:rsidR="00124B62" w:rsidRPr="00124B62" w:rsidRDefault="00124B62" w:rsidP="00124B6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lastRenderedPageBreak/>
        <w:t xml:space="preserve">Zameranie adresného bodu v elektronickej podobe sa vyhotovuje prostredníctvom elektronického formulára, ktorého vzor je zverejnený na webovom sídle Ministerstva vnútra Slovenskej republiky. 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§ 3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 xml:space="preserve">Vyznačenie polohy adresného bodu v geografickej časti registra </w:t>
      </w:r>
      <w:r w:rsidRPr="00124B62">
        <w:rPr>
          <w:rFonts w:ascii="Arial" w:eastAsia="Times New Roman" w:hAnsi="Arial" w:cs="Arial"/>
          <w:lang w:eastAsia="sk-SK"/>
        </w:rPr>
        <w:t xml:space="preserve">adries sa vykoná priradením údajov podľa </w:t>
      </w:r>
      <w:hyperlink r:id="rId9" w:anchor="paragraf-2.odsek-2" w:history="1">
        <w:r w:rsidRPr="00124B62">
          <w:rPr>
            <w:rFonts w:ascii="Arial" w:eastAsia="Times New Roman" w:hAnsi="Arial" w:cs="Arial"/>
            <w:b/>
            <w:bCs/>
            <w:u w:val="single"/>
            <w:lang w:eastAsia="sk-SK"/>
          </w:rPr>
          <w:t>§ 2 ods. 2 písm. a) a b)</w:t>
        </w:r>
      </w:hyperlink>
      <w:r w:rsidRPr="00124B62">
        <w:rPr>
          <w:rFonts w:ascii="Arial" w:eastAsia="Times New Roman" w:hAnsi="Arial" w:cs="Arial"/>
          <w:lang w:eastAsia="sk-SK"/>
        </w:rPr>
        <w:t xml:space="preserve"> k údajom o adrese podľa </w:t>
      </w:r>
      <w:hyperlink r:id="rId10" w:anchor="paragraf-5.odsek-1" w:history="1">
        <w:r w:rsidRPr="00124B62">
          <w:rPr>
            <w:rFonts w:ascii="Arial" w:eastAsia="Times New Roman" w:hAnsi="Arial" w:cs="Arial"/>
            <w:b/>
            <w:bCs/>
            <w:u w:val="single"/>
            <w:lang w:eastAsia="sk-SK"/>
          </w:rPr>
          <w:t>§ 5 ods. 1 písm. a) až h)</w:t>
        </w:r>
      </w:hyperlink>
      <w:r w:rsidRPr="00124B62">
        <w:rPr>
          <w:rFonts w:ascii="Arial" w:eastAsia="Times New Roman" w:hAnsi="Arial" w:cs="Arial"/>
          <w:lang w:eastAsia="sk-SK"/>
        </w:rPr>
        <w:t xml:space="preserve"> a </w:t>
      </w:r>
      <w:hyperlink r:id="rId11" w:anchor="paragraf-5.odsek-1.pismeno-j" w:history="1">
        <w:r w:rsidRPr="00124B62">
          <w:rPr>
            <w:rFonts w:ascii="Arial" w:eastAsia="Times New Roman" w:hAnsi="Arial" w:cs="Arial"/>
            <w:b/>
            <w:bCs/>
            <w:u w:val="single"/>
            <w:lang w:eastAsia="sk-SK"/>
          </w:rPr>
          <w:t>j) zákona</w:t>
        </w:r>
      </w:hyperlink>
      <w:r w:rsidRPr="00124B62">
        <w:rPr>
          <w:rFonts w:ascii="Arial" w:eastAsia="Times New Roman" w:hAnsi="Arial" w:cs="Arial"/>
          <w:lang w:eastAsia="sk-SK"/>
        </w:rPr>
        <w:t xml:space="preserve">. </w:t>
      </w: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24B62">
        <w:rPr>
          <w:rFonts w:ascii="Arial" w:eastAsia="Times New Roman" w:hAnsi="Arial" w:cs="Arial"/>
          <w:lang w:eastAsia="sk-SK"/>
        </w:rPr>
        <w:t>§ 4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24B62" w:rsidRDefault="00124B62" w:rsidP="00124B62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 xml:space="preserve">  Vyznačenie geografickej osi ulice v geografickej časti registra adries sa vykoná priradením </w:t>
      </w:r>
      <w:proofErr w:type="spellStart"/>
      <w:r w:rsidRPr="00124B62">
        <w:rPr>
          <w:rFonts w:ascii="Arial" w:eastAsia="Times New Roman" w:hAnsi="Arial" w:cs="Arial"/>
          <w:color w:val="000000"/>
          <w:lang w:eastAsia="sk-SK"/>
        </w:rPr>
        <w:t>elipsoidických</w:t>
      </w:r>
      <w:proofErr w:type="spellEnd"/>
      <w:r w:rsidRPr="00124B62">
        <w:rPr>
          <w:rFonts w:ascii="Arial" w:eastAsia="Times New Roman" w:hAnsi="Arial" w:cs="Arial"/>
          <w:color w:val="000000"/>
          <w:lang w:eastAsia="sk-SK"/>
        </w:rPr>
        <w:t xml:space="preserve"> súradníc bodom označujúcim začiatok, koniec a lom ulice ku konkrétnej ulici. </w:t>
      </w:r>
    </w:p>
    <w:p w:rsidR="00124B62" w:rsidRPr="00124B62" w:rsidRDefault="00124B62" w:rsidP="00124B62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 xml:space="preserve">Na postup pri zameraní </w:t>
      </w:r>
      <w:proofErr w:type="spellStart"/>
      <w:r w:rsidRPr="00124B62">
        <w:rPr>
          <w:rFonts w:ascii="Arial" w:eastAsia="Times New Roman" w:hAnsi="Arial" w:cs="Arial"/>
          <w:color w:val="000000"/>
          <w:lang w:eastAsia="sk-SK"/>
        </w:rPr>
        <w:t>elipsoidických</w:t>
      </w:r>
      <w:proofErr w:type="spellEnd"/>
      <w:r w:rsidRPr="00124B62">
        <w:rPr>
          <w:rFonts w:ascii="Arial" w:eastAsia="Times New Roman" w:hAnsi="Arial" w:cs="Arial"/>
          <w:color w:val="000000"/>
          <w:lang w:eastAsia="sk-SK"/>
        </w:rPr>
        <w:t xml:space="preserve"> súradníc bodov označujúcich začiatok, koniec a lom ulice sa použijú primerane ustanovenia </w:t>
      </w:r>
      <w:hyperlink r:id="rId12" w:anchor="paragraf-1" w:history="1">
        <w:r w:rsidRPr="00124B62">
          <w:rPr>
            <w:rFonts w:ascii="Arial" w:eastAsia="Times New Roman" w:hAnsi="Arial" w:cs="Arial"/>
            <w:b/>
            <w:bCs/>
            <w:color w:val="5F1675"/>
            <w:u w:val="single"/>
            <w:lang w:eastAsia="sk-SK"/>
          </w:rPr>
          <w:t>§ 1</w:t>
        </w:r>
      </w:hyperlink>
      <w:r w:rsidRPr="00124B62">
        <w:rPr>
          <w:rFonts w:ascii="Arial" w:eastAsia="Times New Roman" w:hAnsi="Arial" w:cs="Arial"/>
          <w:color w:val="000000"/>
          <w:lang w:eastAsia="sk-SK"/>
        </w:rPr>
        <w:t xml:space="preserve">. 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§ 5</w:t>
      </w:r>
    </w:p>
    <w:p w:rsidR="00124B62" w:rsidRPr="00124B62" w:rsidRDefault="00124B62" w:rsidP="0012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124B62">
        <w:rPr>
          <w:rFonts w:ascii="Arial" w:eastAsia="Times New Roman" w:hAnsi="Arial" w:cs="Arial"/>
          <w:color w:val="000000"/>
          <w:lang w:eastAsia="sk-SK"/>
        </w:rPr>
        <w:t>Táto vyhláška nadobúda účinnosť 1. júla 2015.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sk-SK"/>
        </w:rPr>
      </w:pPr>
      <w:proofErr w:type="spellStart"/>
      <w:r w:rsidRPr="00124B62">
        <w:rPr>
          <w:rFonts w:ascii="Arial" w:eastAsia="Times New Roman" w:hAnsi="Arial" w:cs="Arial"/>
          <w:color w:val="494949"/>
          <w:lang w:eastAsia="sk-SK"/>
        </w:rPr>
        <w:t>Robert</w:t>
      </w:r>
      <w:proofErr w:type="spellEnd"/>
      <w:r w:rsidRPr="00124B62">
        <w:rPr>
          <w:rFonts w:ascii="Arial" w:eastAsia="Times New Roman" w:hAnsi="Arial" w:cs="Arial"/>
          <w:color w:val="494949"/>
          <w:lang w:eastAsia="sk-SK"/>
        </w:rPr>
        <w:t xml:space="preserve"> </w:t>
      </w:r>
      <w:proofErr w:type="spellStart"/>
      <w:r w:rsidRPr="00124B62">
        <w:rPr>
          <w:rFonts w:ascii="Arial" w:eastAsia="Times New Roman" w:hAnsi="Arial" w:cs="Arial"/>
          <w:color w:val="494949"/>
          <w:lang w:eastAsia="sk-SK"/>
        </w:rPr>
        <w:t>Kaliňák</w:t>
      </w:r>
      <w:proofErr w:type="spellEnd"/>
      <w:r w:rsidRPr="00124B62">
        <w:rPr>
          <w:rFonts w:ascii="Arial" w:eastAsia="Times New Roman" w:hAnsi="Arial" w:cs="Arial"/>
          <w:color w:val="494949"/>
          <w:lang w:eastAsia="sk-SK"/>
        </w:rPr>
        <w:t xml:space="preserve"> v. r.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lang w:eastAsia="sk-SK"/>
        </w:rPr>
      </w:pPr>
      <w:r w:rsidRPr="00124B62">
        <w:rPr>
          <w:rFonts w:ascii="Arial" w:eastAsia="Times New Roman" w:hAnsi="Arial" w:cs="Arial"/>
          <w:b/>
          <w:bCs/>
          <w:color w:val="494949"/>
          <w:lang w:eastAsia="sk-SK"/>
        </w:rPr>
        <w:t>Príloha k vyhláške č. 142/2015 Z. z.</w:t>
      </w:r>
    </w:p>
    <w:p w:rsid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lang w:eastAsia="sk-SK"/>
        </w:rPr>
      </w:pPr>
    </w:p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lang w:eastAsia="sk-SK"/>
        </w:rPr>
      </w:pPr>
      <w:r w:rsidRPr="00124B62">
        <w:rPr>
          <w:rFonts w:ascii="Arial" w:eastAsia="Times New Roman" w:hAnsi="Arial" w:cs="Arial"/>
          <w:b/>
          <w:bCs/>
          <w:color w:val="494949"/>
          <w:lang w:eastAsia="sk-SK"/>
        </w:rPr>
        <w:t>VZOR ZAMERANIA ADRESNÉHO BODU V LISTINNEJ PODOBE</w:t>
      </w:r>
    </w:p>
    <w:p w:rsidR="00124B62" w:rsidRDefault="00124B62" w:rsidP="00124B62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sk-SK"/>
        </w:rPr>
      </w:pPr>
      <w:r w:rsidRPr="00124B62">
        <w:rPr>
          <w:rFonts w:ascii="Arial" w:eastAsia="Times New Roman" w:hAnsi="Arial" w:cs="Arial"/>
          <w:color w:val="494949"/>
          <w:lang w:eastAsia="sk-SK"/>
        </w:rPr>
        <w:t>Grafická časť   obrázok</w:t>
      </w:r>
    </w:p>
    <w:p w:rsidR="00124B62" w:rsidRPr="00124B62" w:rsidRDefault="00124B62" w:rsidP="00124B62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sk-SK"/>
        </w:rPr>
      </w:pPr>
      <w:r w:rsidRPr="00124B62">
        <w:rPr>
          <w:rFonts w:ascii="Arial" w:eastAsia="Times New Roman" w:hAnsi="Arial" w:cs="Arial"/>
          <w:color w:val="494949"/>
          <w:lang w:eastAsia="sk-SK"/>
        </w:rPr>
        <w:t>Popisná časť</w:t>
      </w:r>
    </w:p>
    <w:tbl>
      <w:tblPr>
        <w:tblW w:w="9439" w:type="dxa"/>
        <w:tblCellSpacing w:w="15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5919"/>
        <w:gridCol w:w="1559"/>
      </w:tblGrid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Kód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Názov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Hodnota</w:t>
            </w: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Φ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elipsoidická</w:t>
            </w:r>
            <w:proofErr w:type="spellEnd"/>
            <w:r w:rsidRPr="00124B62">
              <w:rPr>
                <w:rFonts w:ascii="Arial" w:eastAsia="Times New Roman" w:hAnsi="Arial" w:cs="Arial"/>
                <w:lang w:eastAsia="sk-SK"/>
              </w:rPr>
              <w:t xml:space="preserve"> (geodetická) šírka adresného bodu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dd,ddd</w:t>
            </w:r>
            <w:proofErr w:type="spellEnd"/>
            <w:r w:rsidRPr="00124B62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ddd</w:t>
            </w:r>
            <w:proofErr w:type="spellEnd"/>
            <w:r w:rsidRPr="00124B62">
              <w:rPr>
                <w:rFonts w:ascii="Arial" w:eastAsia="Times New Roman" w:hAnsi="Arial" w:cs="Arial"/>
                <w:lang w:eastAsia="sk-SK"/>
              </w:rPr>
              <w:t xml:space="preserve"> d</w:t>
            </w: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λ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elipsoidická</w:t>
            </w:r>
            <w:proofErr w:type="spellEnd"/>
            <w:r w:rsidRPr="00124B62">
              <w:rPr>
                <w:rFonts w:ascii="Arial" w:eastAsia="Times New Roman" w:hAnsi="Arial" w:cs="Arial"/>
                <w:lang w:eastAsia="sk-SK"/>
              </w:rPr>
              <w:t xml:space="preserve"> (geodetická) dĺžka adresného bodu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dd,ddd</w:t>
            </w:r>
            <w:proofErr w:type="spellEnd"/>
            <w:r w:rsidRPr="00124B62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ddd</w:t>
            </w:r>
            <w:proofErr w:type="spellEnd"/>
            <w:r w:rsidRPr="00124B62">
              <w:rPr>
                <w:rFonts w:ascii="Arial" w:eastAsia="Times New Roman" w:hAnsi="Arial" w:cs="Arial"/>
                <w:lang w:eastAsia="sk-SK"/>
              </w:rPr>
              <w:t xml:space="preserve"> d</w:t>
            </w: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elipsoidická</w:t>
            </w:r>
            <w:proofErr w:type="spellEnd"/>
            <w:r w:rsidRPr="00124B62">
              <w:rPr>
                <w:rFonts w:ascii="Arial" w:eastAsia="Times New Roman" w:hAnsi="Arial" w:cs="Arial"/>
                <w:lang w:eastAsia="sk-SK"/>
              </w:rPr>
              <w:t xml:space="preserve"> (geodetická) výška adresného bodu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124B62">
              <w:rPr>
                <w:rFonts w:ascii="Arial" w:eastAsia="Times New Roman" w:hAnsi="Arial" w:cs="Arial"/>
                <w:lang w:eastAsia="sk-SK"/>
              </w:rPr>
              <w:t>ddd,dd</w:t>
            </w:r>
            <w:proofErr w:type="spellEnd"/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KRAJ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označenie kraja, v ktorom sa budova nachádza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OKRES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označenie okresu, v ktorom sa budova nachádza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OBEC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označenie obce, v ktorej sa budova nachádza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ČASŤ OBCE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označenie časti obce, v ktorej sa budova nachádza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ULICA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názov ulice, na ktorej sa budova nachádza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OCB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orientačné číslo vstupu do budovy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24B62">
              <w:rPr>
                <w:rFonts w:ascii="Arial" w:eastAsia="Times New Roman" w:hAnsi="Arial" w:cs="Arial"/>
                <w:b/>
                <w:bCs/>
                <w:lang w:eastAsia="sk-SK"/>
              </w:rPr>
              <w:t>SCB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súpisné číslo budovy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24B62" w:rsidRPr="00124B62" w:rsidTr="00124B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24B62">
              <w:rPr>
                <w:rFonts w:ascii="Arial" w:eastAsia="Times New Roman" w:hAnsi="Arial" w:cs="Arial"/>
                <w:lang w:eastAsia="sk-SK"/>
              </w:rPr>
              <w:t>meno, priezvisko a podpis toho, kto adresný bod zameral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62" w:rsidRPr="00124B62" w:rsidRDefault="00124B62" w:rsidP="00124B6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124B62" w:rsidRPr="00124B62" w:rsidRDefault="00124B62" w:rsidP="00124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sk-SK"/>
        </w:rPr>
      </w:pPr>
      <w:r w:rsidRPr="00124B62">
        <w:rPr>
          <w:rFonts w:ascii="Arial" w:eastAsia="Times New Roman" w:hAnsi="Arial" w:cs="Arial"/>
          <w:color w:val="494949"/>
          <w:lang w:eastAsia="sk-SK"/>
        </w:rPr>
        <w:t>1)</w:t>
      </w:r>
    </w:p>
    <w:p w:rsidR="007E0F5C" w:rsidRPr="00124B62" w:rsidRDefault="001F022A" w:rsidP="00124B62">
      <w:pPr>
        <w:shd w:val="clear" w:color="auto" w:fill="FFFFFF"/>
        <w:spacing w:line="240" w:lineRule="auto"/>
        <w:rPr>
          <w:rFonts w:ascii="Arial" w:eastAsia="Times New Roman" w:hAnsi="Arial" w:cs="Arial"/>
          <w:color w:val="494949"/>
          <w:lang w:eastAsia="sk-SK"/>
        </w:rPr>
      </w:pPr>
      <w:hyperlink r:id="rId13" w:anchor="paragraf-2.odsek-10" w:history="1">
        <w:r w:rsidR="00124B62" w:rsidRPr="00124B62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2 ods. 10 vyhlášky Úradu geodézie, kartografie a katastra Slovenskej republiky č. 300/2009 Z. z.</w:t>
        </w:r>
      </w:hyperlink>
      <w:r w:rsidR="00124B62" w:rsidRPr="00124B62">
        <w:rPr>
          <w:rFonts w:ascii="Arial" w:eastAsia="Times New Roman" w:hAnsi="Arial" w:cs="Arial"/>
          <w:color w:val="494949"/>
          <w:lang w:eastAsia="sk-SK"/>
        </w:rPr>
        <w:t xml:space="preserve">, ktorou sa vykonáva zákon Národnej rady Slovenskej republiky č. 215/1995 Z. z. o geodézii a kartografii v znení neskorších predpisov v znení neskorších predpisov. </w:t>
      </w:r>
    </w:p>
    <w:sectPr w:rsidR="007E0F5C" w:rsidRPr="0012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C42"/>
    <w:multiLevelType w:val="hybridMultilevel"/>
    <w:tmpl w:val="5C245202"/>
    <w:lvl w:ilvl="0" w:tplc="A4E69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25F5"/>
    <w:multiLevelType w:val="hybridMultilevel"/>
    <w:tmpl w:val="39F24B8A"/>
    <w:lvl w:ilvl="0" w:tplc="A3FA1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67C9"/>
    <w:multiLevelType w:val="hybridMultilevel"/>
    <w:tmpl w:val="F6C0B9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241"/>
    <w:multiLevelType w:val="hybridMultilevel"/>
    <w:tmpl w:val="964EB0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3CBC"/>
    <w:multiLevelType w:val="hybridMultilevel"/>
    <w:tmpl w:val="179888EC"/>
    <w:lvl w:ilvl="0" w:tplc="D8560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62"/>
    <w:rsid w:val="00124B62"/>
    <w:rsid w:val="001F022A"/>
    <w:rsid w:val="007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20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763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4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3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42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8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54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61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8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9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3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7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5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1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2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3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4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3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5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3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6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8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2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6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0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4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1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4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34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0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3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7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tatic/pravne-predpisy/SK/ZZ/2015/142/20150701.html" TargetMode="External"/><Relationship Id="rId13" Type="http://schemas.openxmlformats.org/officeDocument/2006/relationships/hyperlink" Target="https://www.slov-lex.sk/static/pravne-predpisy/SK/ZZ/2009/300/2014021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static/pravne-predpisy/SK/ZZ/2015/125/20150701.html" TargetMode="External"/><Relationship Id="rId12" Type="http://schemas.openxmlformats.org/officeDocument/2006/relationships/hyperlink" Target="https://www.slov-lex.sk/static/pravne-predpisy/SK/ZZ/2015/142/201507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static/pravne-predpisy/SK/ZZ/2015/125/20150701.html" TargetMode="External"/><Relationship Id="rId11" Type="http://schemas.openxmlformats.org/officeDocument/2006/relationships/hyperlink" Target="https://www.slov-lex.sk/static/pravne-predpisy/SK/ZZ/2015/125/2015070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static/pravne-predpisy/SK/ZZ/2015/125/201507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static/pravne-predpisy/SK/ZZ/2015/142/201507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Gyengeova</dc:creator>
  <cp:lastModifiedBy>computer</cp:lastModifiedBy>
  <cp:revision>2</cp:revision>
  <dcterms:created xsi:type="dcterms:W3CDTF">2015-07-14T08:34:00Z</dcterms:created>
  <dcterms:modified xsi:type="dcterms:W3CDTF">2015-07-14T08:34:00Z</dcterms:modified>
</cp:coreProperties>
</file>